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1A26" w14:textId="77777777" w:rsidR="00556CB8" w:rsidRDefault="00556CB8" w:rsidP="00556CB8">
      <w:pPr>
        <w:ind w:right="-426"/>
        <w:rPr>
          <w:b/>
          <w:sz w:val="20"/>
          <w:szCs w:val="20"/>
          <w:lang w:val="en-US"/>
        </w:rPr>
      </w:pPr>
    </w:p>
    <w:p w14:paraId="6E441B2A" w14:textId="6AE7FE11" w:rsidR="00556CB8" w:rsidRPr="00D73459" w:rsidRDefault="00D73459" w:rsidP="00556CB8">
      <w:pPr>
        <w:ind w:right="-426"/>
        <w:rPr>
          <w:b/>
          <w:sz w:val="20"/>
          <w:szCs w:val="20"/>
        </w:rPr>
      </w:pPr>
      <w:r w:rsidRPr="00D73459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°ORCID</w:t>
      </w:r>
      <w:r w:rsidR="00DF0BFF">
        <w:rPr>
          <w:b/>
          <w:sz w:val="20"/>
          <w:szCs w:val="20"/>
        </w:rPr>
        <w:t xml:space="preserve"> : </w:t>
      </w:r>
      <w:r w:rsidR="00DF0BFF" w:rsidRPr="00DF0BFF">
        <w:rPr>
          <w:b/>
          <w:sz w:val="20"/>
          <w:szCs w:val="20"/>
        </w:rPr>
        <w:t>0000-0001-9644-6653</w:t>
      </w:r>
    </w:p>
    <w:p w14:paraId="45D301BC" w14:textId="0A2760E3" w:rsidR="00556CB8" w:rsidRPr="00556CB8" w:rsidRDefault="00556CB8" w:rsidP="00556CB8">
      <w:pPr>
        <w:ind w:right="-426"/>
        <w:rPr>
          <w:b/>
          <w:sz w:val="20"/>
          <w:szCs w:val="20"/>
        </w:rPr>
      </w:pPr>
      <w:r w:rsidRPr="00556CB8">
        <w:rPr>
          <w:b/>
          <w:sz w:val="20"/>
          <w:szCs w:val="20"/>
        </w:rPr>
        <w:t>Jean-Luc Voisin</w:t>
      </w:r>
    </w:p>
    <w:p w14:paraId="74433FB3" w14:textId="77777777" w:rsidR="00556CB8" w:rsidRDefault="00DF0BFF" w:rsidP="00556CB8">
      <w:pPr>
        <w:widowControl w:val="0"/>
        <w:spacing w:after="40"/>
        <w:ind w:right="-426"/>
        <w:rPr>
          <w:rFonts w:ascii="Arial" w:hAnsi="Arial" w:cs="Arial"/>
          <w:b/>
          <w:bCs/>
          <w:sz w:val="18"/>
          <w:szCs w:val="18"/>
        </w:rPr>
      </w:pPr>
      <w:hyperlink r:id="rId4">
        <w:r w:rsidR="00556CB8">
          <w:rPr>
            <w:rStyle w:val="Lienhypertexte"/>
            <w:rFonts w:ascii="Arial" w:hAnsi="Arial" w:cs="Arial"/>
            <w:b/>
            <w:bCs/>
            <w:sz w:val="18"/>
            <w:szCs w:val="18"/>
          </w:rPr>
          <w:t>http://jeanlucvoisin.free.fr</w:t>
        </w:r>
      </w:hyperlink>
    </w:p>
    <w:p w14:paraId="52EFAF8F" w14:textId="77777777" w:rsidR="00556CB8" w:rsidRDefault="00DF0BFF" w:rsidP="00556CB8">
      <w:pPr>
        <w:widowControl w:val="0"/>
        <w:spacing w:after="120"/>
        <w:ind w:right="-426"/>
        <w:rPr>
          <w:rStyle w:val="Lienhypertexte"/>
          <w:rFonts w:ascii="Arial" w:hAnsi="Arial" w:cs="Arial"/>
          <w:b/>
          <w:bCs/>
          <w:sz w:val="18"/>
          <w:szCs w:val="18"/>
        </w:rPr>
      </w:pPr>
      <w:hyperlink r:id="rId5">
        <w:r w:rsidR="00556CB8">
          <w:rPr>
            <w:rStyle w:val="Lienhypertexte"/>
            <w:rFonts w:ascii="Arial" w:hAnsi="Arial" w:cs="Arial"/>
            <w:b/>
            <w:bCs/>
            <w:sz w:val="18"/>
            <w:szCs w:val="18"/>
          </w:rPr>
          <w:t>http://anthropologicaldata.free.fr</w:t>
        </w:r>
      </w:hyperlink>
    </w:p>
    <w:p w14:paraId="6865D179" w14:textId="77777777" w:rsidR="00556CB8" w:rsidRPr="00D73459" w:rsidRDefault="00556CB8" w:rsidP="00556CB8">
      <w:pPr>
        <w:ind w:right="-426" w:hanging="540"/>
        <w:rPr>
          <w:b/>
          <w:bCs/>
          <w:smallCaps/>
          <w:sz w:val="22"/>
          <w:szCs w:val="22"/>
        </w:rPr>
      </w:pPr>
    </w:p>
    <w:p w14:paraId="2521F6E2" w14:textId="77777777" w:rsidR="00556CB8" w:rsidRDefault="00556CB8" w:rsidP="00556C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/>
        <w:ind w:right="-426" w:hanging="539"/>
        <w:jc w:val="right"/>
        <w:rPr>
          <w:b/>
          <w:bCs/>
          <w:i/>
          <w:iCs/>
          <w:smallCaps/>
          <w:sz w:val="22"/>
          <w:szCs w:val="22"/>
        </w:rPr>
      </w:pPr>
      <w:r>
        <w:rPr>
          <w:b/>
          <w:bCs/>
          <w:i/>
          <w:iCs/>
          <w:smallCaps/>
          <w:sz w:val="22"/>
          <w:szCs w:val="22"/>
        </w:rPr>
        <w:t>Cursus universitaire</w:t>
      </w:r>
    </w:p>
    <w:p w14:paraId="23091378" w14:textId="77777777" w:rsidR="00556CB8" w:rsidRDefault="00556CB8" w:rsidP="00556CB8">
      <w:pPr>
        <w:ind w:left="709" w:right="-426" w:hanging="709"/>
        <w:jc w:val="both"/>
        <w:rPr>
          <w:bCs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>
        <w:rPr>
          <w:b/>
          <w:i/>
          <w:iCs/>
          <w:sz w:val="22"/>
          <w:szCs w:val="22"/>
        </w:rPr>
        <w:t>H.D.R.</w:t>
      </w:r>
      <w:r>
        <w:rPr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(Habilitation à Diriger des Recherches) </w:t>
      </w:r>
      <w:r>
        <w:rPr>
          <w:b/>
          <w:i/>
          <w:sz w:val="22"/>
          <w:szCs w:val="22"/>
        </w:rPr>
        <w:t>Université de la Méditerranée Aix-Marseille 2</w:t>
      </w:r>
      <w:r>
        <w:rPr>
          <w:i/>
          <w:sz w:val="22"/>
          <w:szCs w:val="22"/>
        </w:rPr>
        <w:t> </w:t>
      </w:r>
      <w:r>
        <w:rPr>
          <w:sz w:val="22"/>
          <w:szCs w:val="22"/>
        </w:rPr>
        <w:t xml:space="preserve">: </w:t>
      </w:r>
      <w:r>
        <w:rPr>
          <w:bCs/>
          <w:i/>
          <w:iCs/>
          <w:sz w:val="22"/>
          <w:szCs w:val="22"/>
        </w:rPr>
        <w:t>Peuplements humains, anatomie fonctionnelle et évolution</w:t>
      </w:r>
      <w:r>
        <w:rPr>
          <w:bCs/>
          <w:iCs/>
          <w:sz w:val="22"/>
          <w:szCs w:val="22"/>
        </w:rPr>
        <w:t>, soutenu le 7 juillet 2011.</w:t>
      </w:r>
    </w:p>
    <w:p w14:paraId="134B9A9E" w14:textId="35DF61B5" w:rsidR="00556CB8" w:rsidRDefault="00556CB8" w:rsidP="00556CB8">
      <w:pPr>
        <w:spacing w:before="40"/>
        <w:ind w:left="709" w:right="-426" w:hanging="709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>
        <w:rPr>
          <w:b/>
          <w:i/>
          <w:iCs/>
          <w:sz w:val="22"/>
          <w:szCs w:val="22"/>
        </w:rPr>
        <w:t>CAPES (Certificat d’Aptitude au Professorat de l’Enseignement du Second Degré)</w:t>
      </w:r>
      <w:r>
        <w:rPr>
          <w:sz w:val="22"/>
          <w:szCs w:val="22"/>
        </w:rPr>
        <w:t> : Sciences de la Vie et de la Terre, juillet 2004.</w:t>
      </w:r>
    </w:p>
    <w:p w14:paraId="55B41A45" w14:textId="19C8C8FC" w:rsidR="00556CB8" w:rsidRPr="00556CB8" w:rsidRDefault="00556CB8" w:rsidP="00556CB8">
      <w:pPr>
        <w:spacing w:before="40"/>
        <w:ind w:left="709" w:right="-426" w:hanging="709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>
        <w:rPr>
          <w:b/>
          <w:i/>
          <w:iCs/>
          <w:sz w:val="22"/>
          <w:szCs w:val="22"/>
        </w:rPr>
        <w:t>Doctorat du Muséum National d’Histoire Naturelle</w:t>
      </w:r>
      <w:r>
        <w:rPr>
          <w:i/>
          <w:iCs/>
          <w:sz w:val="22"/>
          <w:szCs w:val="22"/>
        </w:rPr>
        <w:t> :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L’épaule des Hominidés. Aspects architecturaux et fonctionnels. Références particulières à la clavicule</w:t>
      </w:r>
      <w:r>
        <w:rPr>
          <w:sz w:val="22"/>
          <w:szCs w:val="22"/>
        </w:rPr>
        <w:t>, mention très honorable avec félicitations du jury, soutenu le 18 avril 2000.</w:t>
      </w:r>
    </w:p>
    <w:p w14:paraId="56776C46" w14:textId="77777777" w:rsidR="00556CB8" w:rsidRDefault="00556CB8" w:rsidP="00556CB8">
      <w:pPr>
        <w:spacing w:before="40" w:after="160"/>
        <w:ind w:left="709" w:hanging="709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>
        <w:rPr>
          <w:b/>
          <w:i/>
          <w:iCs/>
          <w:sz w:val="22"/>
          <w:szCs w:val="22"/>
        </w:rPr>
        <w:t>D.E.A</w:t>
      </w:r>
      <w:r>
        <w:rPr>
          <w:i/>
          <w:iCs/>
          <w:sz w:val="22"/>
          <w:szCs w:val="22"/>
        </w:rPr>
        <w:t> 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« Quaternaire : Géologie, Paléontologie humaine, Préhistoire » (Muséum National d’Histoire Naturelle), Institut de Paléontologie Humaine, Paris, mention B, juin 1996.</w:t>
      </w:r>
    </w:p>
    <w:p w14:paraId="3E81A135" w14:textId="77777777" w:rsidR="00556CB8" w:rsidRDefault="00556CB8" w:rsidP="00556C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/>
        <w:ind w:right="-426" w:hanging="539"/>
        <w:jc w:val="right"/>
        <w:rPr>
          <w:b/>
          <w:bCs/>
          <w:i/>
          <w:iCs/>
          <w:smallCaps/>
          <w:sz w:val="22"/>
          <w:szCs w:val="22"/>
        </w:rPr>
      </w:pPr>
      <w:r>
        <w:rPr>
          <w:b/>
          <w:bCs/>
          <w:i/>
          <w:iCs/>
          <w:smallCaps/>
          <w:sz w:val="22"/>
          <w:szCs w:val="22"/>
        </w:rPr>
        <w:t>Distinctions scientifiques</w:t>
      </w:r>
    </w:p>
    <w:p w14:paraId="0E1237B0" w14:textId="2AC4F035" w:rsidR="00556CB8" w:rsidRDefault="00556CB8" w:rsidP="00556CB8">
      <w:pPr>
        <w:spacing w:after="40"/>
        <w:ind w:left="357" w:right="-426" w:hanging="357"/>
        <w:jc w:val="both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- Nomination </w:t>
      </w:r>
      <w:r>
        <w:rPr>
          <w:bCs/>
          <w:spacing w:val="-4"/>
          <w:sz w:val="22"/>
          <w:szCs w:val="22"/>
        </w:rPr>
        <w:t xml:space="preserve">(5 articles retenus) pour le meilleur article de la revue : </w:t>
      </w:r>
      <w:r>
        <w:rPr>
          <w:bCs/>
          <w:i/>
          <w:spacing w:val="-4"/>
          <w:sz w:val="22"/>
          <w:szCs w:val="22"/>
        </w:rPr>
        <w:t>Kinésithérapie, la revue</w:t>
      </w:r>
      <w:r>
        <w:rPr>
          <w:bCs/>
          <w:spacing w:val="-4"/>
          <w:sz w:val="22"/>
          <w:szCs w:val="22"/>
        </w:rPr>
        <w:t xml:space="preserve">, </w:t>
      </w:r>
      <w:r>
        <w:rPr>
          <w:b/>
          <w:bCs/>
          <w:spacing w:val="-4"/>
          <w:sz w:val="22"/>
          <w:szCs w:val="22"/>
        </w:rPr>
        <w:t>Décembre</w:t>
      </w:r>
      <w:r>
        <w:rPr>
          <w:bCs/>
          <w:spacing w:val="-4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2017.</w:t>
      </w:r>
      <w:r>
        <w:rPr>
          <w:bCs/>
          <w:spacing w:val="-4"/>
          <w:sz w:val="22"/>
          <w:szCs w:val="22"/>
        </w:rPr>
        <w:t xml:space="preserve"> </w:t>
      </w:r>
    </w:p>
    <w:p w14:paraId="6BEF0EB6" w14:textId="328515CB" w:rsidR="00556CB8" w:rsidRDefault="00556CB8" w:rsidP="00556CB8">
      <w:pPr>
        <w:spacing w:after="40"/>
        <w:ind w:left="357" w:right="-426" w:hanging="357"/>
        <w:jc w:val="both"/>
        <w:rPr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>Prix du meilleur poster (</w:t>
      </w:r>
      <w:r>
        <w:rPr>
          <w:bCs/>
          <w:sz w:val="22"/>
          <w:szCs w:val="22"/>
        </w:rPr>
        <w:t>année</w:t>
      </w:r>
      <w:r>
        <w:rPr>
          <w:b/>
          <w:bCs/>
          <w:sz w:val="22"/>
          <w:szCs w:val="22"/>
        </w:rPr>
        <w:t xml:space="preserve"> 2006</w:t>
      </w:r>
      <w:r>
        <w:rPr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 : </w:t>
      </w:r>
      <w:r>
        <w:rPr>
          <w:bCs/>
          <w:sz w:val="22"/>
          <w:szCs w:val="22"/>
        </w:rPr>
        <w:t>3</w:t>
      </w:r>
      <w:r>
        <w:rPr>
          <w:bCs/>
          <w:sz w:val="22"/>
          <w:szCs w:val="22"/>
          <w:vertAlign w:val="superscript"/>
        </w:rPr>
        <w:t>ème</w:t>
      </w:r>
      <w:r>
        <w:rPr>
          <w:sz w:val="22"/>
          <w:szCs w:val="22"/>
        </w:rPr>
        <w:t xml:space="preserve"> place (sur 57 posters présentés) pour mon poster intitulé "</w:t>
      </w:r>
      <w:r>
        <w:rPr>
          <w:bCs/>
          <w:i/>
          <w:sz w:val="22"/>
          <w:szCs w:val="22"/>
        </w:rPr>
        <w:t>New lights about Neanderthal extinction</w:t>
      </w:r>
      <w:r>
        <w:rPr>
          <w:sz w:val="22"/>
          <w:szCs w:val="22"/>
        </w:rPr>
        <w:t xml:space="preserve">" lors du </w:t>
      </w:r>
      <w:r>
        <w:rPr>
          <w:b/>
          <w:sz w:val="22"/>
          <w:szCs w:val="22"/>
        </w:rPr>
        <w:t>congrès international</w:t>
      </w:r>
      <w:r>
        <w:rPr>
          <w:sz w:val="22"/>
          <w:szCs w:val="22"/>
        </w:rPr>
        <w:t xml:space="preserve"> commémorant les 150 ans de la découverte de Neandertal </w:t>
      </w:r>
      <w:r>
        <w:rPr>
          <w:i/>
          <w:iCs/>
          <w:sz w:val="22"/>
          <w:szCs w:val="22"/>
        </w:rPr>
        <w:t>"150 years of Neanderthal discoveries early Europeans - continuity &amp; discontinuity"</w:t>
      </w:r>
      <w:r>
        <w:rPr>
          <w:sz w:val="22"/>
          <w:szCs w:val="22"/>
        </w:rPr>
        <w:t xml:space="preserve"> (21 – 26 juillet 2006) Bonn, Allemagne.  </w:t>
      </w:r>
    </w:p>
    <w:p w14:paraId="4D1449A9" w14:textId="3E2558FD" w:rsidR="00556CB8" w:rsidRDefault="00556CB8" w:rsidP="00556CB8">
      <w:pPr>
        <w:spacing w:after="40"/>
        <w:ind w:left="425" w:right="-426" w:hanging="425"/>
        <w:jc w:val="both"/>
        <w:rPr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- Prix de la meilleure étude</w:t>
      </w:r>
      <w:r>
        <w:rPr>
          <w:spacing w:val="-4"/>
          <w:sz w:val="22"/>
          <w:szCs w:val="22"/>
        </w:rPr>
        <w:t xml:space="preserve">, année </w:t>
      </w:r>
      <w:r>
        <w:rPr>
          <w:b/>
          <w:spacing w:val="-4"/>
          <w:sz w:val="22"/>
          <w:szCs w:val="22"/>
        </w:rPr>
        <w:t>2001</w:t>
      </w:r>
      <w:r>
        <w:rPr>
          <w:spacing w:val="-4"/>
          <w:sz w:val="22"/>
          <w:szCs w:val="22"/>
        </w:rPr>
        <w:t xml:space="preserve">, décerné par l’Association Française de Prototypage Rapide (AFPR), pour l’équipe ayant réalisé l’étude : </w:t>
      </w:r>
      <w:r>
        <w:rPr>
          <w:b/>
          <w:spacing w:val="-4"/>
          <w:sz w:val="22"/>
          <w:szCs w:val="22"/>
        </w:rPr>
        <w:t>« Modélisation numérique et réalisation par stéréolithographie d’un crâne d’</w:t>
      </w:r>
      <w:r>
        <w:rPr>
          <w:b/>
          <w:i/>
          <w:iCs/>
          <w:spacing w:val="-4"/>
          <w:sz w:val="22"/>
          <w:szCs w:val="22"/>
        </w:rPr>
        <w:t>Homo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i/>
          <w:iCs/>
          <w:spacing w:val="-4"/>
          <w:sz w:val="22"/>
          <w:szCs w:val="22"/>
        </w:rPr>
        <w:t>erectus</w:t>
      </w:r>
      <w:r>
        <w:rPr>
          <w:b/>
          <w:spacing w:val="-4"/>
          <w:sz w:val="22"/>
          <w:szCs w:val="22"/>
        </w:rPr>
        <w:t xml:space="preserve"> à partir de rapprochement virtuel de fragments fossiles complémentaires</w:t>
      </w:r>
      <w:r>
        <w:rPr>
          <w:spacing w:val="-4"/>
          <w:sz w:val="22"/>
          <w:szCs w:val="22"/>
        </w:rPr>
        <w:t xml:space="preserve"> » ; collaboration entre C.H.U. Amiens, École Centrale Paris, Centre Hospitalier National d’Ophtalmologie des Quinze Vingts et Muséum National d’Histoire Naturelle. </w:t>
      </w:r>
    </w:p>
    <w:p w14:paraId="1E5AC7D1" w14:textId="77777777" w:rsidR="00556CB8" w:rsidRDefault="00556CB8" w:rsidP="00556CB8">
      <w:pPr>
        <w:spacing w:after="160"/>
        <w:ind w:left="425" w:right="-426" w:hanging="42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- Prix Broca</w:t>
      </w:r>
      <w:r>
        <w:rPr>
          <w:sz w:val="22"/>
          <w:szCs w:val="22"/>
        </w:rPr>
        <w:t xml:space="preserve">, année </w:t>
      </w:r>
      <w:r>
        <w:rPr>
          <w:b/>
          <w:sz w:val="22"/>
          <w:szCs w:val="22"/>
        </w:rPr>
        <w:t>2000</w:t>
      </w:r>
      <w:r>
        <w:rPr>
          <w:sz w:val="22"/>
          <w:szCs w:val="22"/>
        </w:rPr>
        <w:t>, décerné par la Société d’Anthropologie de Paris pour mon mémoire de thèse.</w:t>
      </w:r>
    </w:p>
    <w:p w14:paraId="7705D68C" w14:textId="46D3186E" w:rsidR="00F1691F" w:rsidRDefault="00F1691F" w:rsidP="00556CB8"/>
    <w:sectPr w:rsidR="00F16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B8"/>
    <w:rsid w:val="00556CB8"/>
    <w:rsid w:val="00D73459"/>
    <w:rsid w:val="00D82BB9"/>
    <w:rsid w:val="00DF0BFF"/>
    <w:rsid w:val="00E50833"/>
    <w:rsid w:val="00E9242E"/>
    <w:rsid w:val="00F1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ADDA"/>
  <w15:chartTrackingRefBased/>
  <w15:docId w15:val="{317F6624-5557-4E8D-AEF5-D63C8712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C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556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nthropologicaldata.free.fr/" TargetMode="External"/><Relationship Id="rId4" Type="http://schemas.openxmlformats.org/officeDocument/2006/relationships/hyperlink" Target="http://jeanlucvoisin.fre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Voisin</dc:creator>
  <cp:keywords/>
  <dc:description/>
  <cp:lastModifiedBy>Jean-Luc Voisin</cp:lastModifiedBy>
  <cp:revision>3</cp:revision>
  <dcterms:created xsi:type="dcterms:W3CDTF">2024-02-02T22:27:00Z</dcterms:created>
  <dcterms:modified xsi:type="dcterms:W3CDTF">2024-02-06T15:57:00Z</dcterms:modified>
</cp:coreProperties>
</file>